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64AD" w14:textId="69299EAF" w:rsidR="001A5ABB" w:rsidRDefault="001A5ABB" w:rsidP="004A2660">
      <w:pPr>
        <w:jc w:val="center"/>
        <w:rPr>
          <w:rFonts w:ascii="Trebuchet MS" w:hAnsi="Trebuchet MS"/>
          <w:b/>
          <w:bCs/>
          <w:i/>
          <w:iCs/>
          <w:sz w:val="32"/>
          <w:szCs w:val="32"/>
        </w:rPr>
      </w:pPr>
      <w:r>
        <w:rPr>
          <w:rFonts w:ascii="Trebuchet MS" w:hAnsi="Trebuchet MS"/>
          <w:b/>
          <w:bCs/>
          <w:sz w:val="32"/>
          <w:szCs w:val="32"/>
        </w:rPr>
        <w:t>Summary</w:t>
      </w:r>
      <w:r w:rsidR="00CB2323">
        <w:rPr>
          <w:rFonts w:ascii="Trebuchet MS" w:hAnsi="Trebuchet MS"/>
          <w:b/>
          <w:bCs/>
          <w:sz w:val="32"/>
          <w:szCs w:val="32"/>
        </w:rPr>
        <w:t xml:space="preserve"> for Session </w:t>
      </w:r>
      <w:r w:rsidR="00AE4E05">
        <w:rPr>
          <w:rFonts w:ascii="Trebuchet MS" w:hAnsi="Trebuchet MS"/>
          <w:b/>
          <w:bCs/>
          <w:sz w:val="32"/>
          <w:szCs w:val="32"/>
        </w:rPr>
        <w:t>3</w:t>
      </w:r>
      <w:r w:rsidR="00DB0464" w:rsidRPr="00DB0464">
        <w:rPr>
          <w:rFonts w:ascii="Trebuchet MS" w:hAnsi="Trebuchet MS"/>
          <w:b/>
          <w:bCs/>
          <w:sz w:val="32"/>
          <w:szCs w:val="32"/>
        </w:rPr>
        <w:t xml:space="preserve"> o</w:t>
      </w:r>
      <w:r w:rsidR="00CB2323">
        <w:rPr>
          <w:rFonts w:ascii="Trebuchet MS" w:hAnsi="Trebuchet MS"/>
          <w:b/>
          <w:bCs/>
          <w:sz w:val="32"/>
          <w:szCs w:val="32"/>
        </w:rPr>
        <w:t>f Book Group on</w:t>
      </w:r>
    </w:p>
    <w:p w14:paraId="1A74A622" w14:textId="7F3B1555" w:rsidR="004A2660" w:rsidRPr="004A2660" w:rsidRDefault="00B87428" w:rsidP="004A2660">
      <w:pPr>
        <w:jc w:val="center"/>
        <w:rPr>
          <w:rFonts w:ascii="Trebuchet MS" w:hAnsi="Trebuchet MS"/>
          <w:b/>
          <w:bCs/>
          <w:i/>
          <w:iCs/>
          <w:sz w:val="32"/>
          <w:szCs w:val="32"/>
        </w:rPr>
      </w:pPr>
      <w:r w:rsidRPr="004A2660">
        <w:rPr>
          <w:rFonts w:ascii="Trebuchet MS" w:hAnsi="Trebuchet MS"/>
          <w:b/>
          <w:bCs/>
          <w:i/>
          <w:iCs/>
          <w:sz w:val="32"/>
          <w:szCs w:val="32"/>
        </w:rPr>
        <w:t>The Great Dissenter:</w:t>
      </w:r>
      <w:r w:rsidR="004A2660" w:rsidRPr="004A2660">
        <w:rPr>
          <w:rFonts w:ascii="Trebuchet MS" w:hAnsi="Trebuchet MS"/>
          <w:b/>
          <w:bCs/>
          <w:i/>
          <w:iCs/>
          <w:sz w:val="32"/>
          <w:szCs w:val="32"/>
        </w:rPr>
        <w:t xml:space="preserve">  </w:t>
      </w:r>
    </w:p>
    <w:p w14:paraId="749DCD27" w14:textId="445F6363" w:rsidR="00905566" w:rsidRPr="004A2660" w:rsidRDefault="004A2660" w:rsidP="004A2660">
      <w:pPr>
        <w:jc w:val="center"/>
        <w:rPr>
          <w:rFonts w:ascii="Trebuchet MS" w:hAnsi="Trebuchet MS"/>
          <w:b/>
          <w:bCs/>
          <w:i/>
          <w:iCs/>
          <w:sz w:val="32"/>
          <w:szCs w:val="32"/>
        </w:rPr>
      </w:pPr>
      <w:r w:rsidRPr="004A2660">
        <w:rPr>
          <w:rFonts w:ascii="Trebuchet MS" w:hAnsi="Trebuchet MS"/>
          <w:b/>
          <w:bCs/>
          <w:i/>
          <w:iCs/>
          <w:sz w:val="32"/>
          <w:szCs w:val="32"/>
        </w:rPr>
        <w:t>The Story of John Marshall Harlan, America’s Judicial Hero</w:t>
      </w:r>
    </w:p>
    <w:p w14:paraId="244632C7" w14:textId="3416CF17" w:rsidR="00B87428" w:rsidRPr="004A2660" w:rsidRDefault="00B87428">
      <w:pPr>
        <w:rPr>
          <w:rFonts w:ascii="Trebuchet MS" w:hAnsi="Trebuchet MS"/>
        </w:rPr>
      </w:pPr>
    </w:p>
    <w:p w14:paraId="3FA455B5" w14:textId="3C1D60FF" w:rsidR="00DB0464" w:rsidRPr="00DB0464" w:rsidRDefault="00AE4E05" w:rsidP="00AE4E05">
      <w:pPr>
        <w:pStyle w:val="ListParagraph"/>
        <w:numPr>
          <w:ilvl w:val="0"/>
          <w:numId w:val="2"/>
        </w:numPr>
        <w:ind w:hanging="540"/>
        <w:rPr>
          <w:rFonts w:ascii="Trebuchet MS" w:hAnsi="Trebuchet MS"/>
          <w:b/>
          <w:bCs/>
        </w:rPr>
      </w:pPr>
      <w:r>
        <w:rPr>
          <w:rFonts w:ascii="Trebuchet MS" w:hAnsi="Trebuchet MS"/>
          <w:b/>
          <w:bCs/>
        </w:rPr>
        <w:t>Self-inflicted Wounds</w:t>
      </w:r>
      <w:r w:rsidR="00DB0464">
        <w:rPr>
          <w:rFonts w:ascii="Trebuchet MS" w:hAnsi="Trebuchet MS"/>
          <w:b/>
          <w:bCs/>
        </w:rPr>
        <w:t xml:space="preserve"> </w:t>
      </w:r>
      <w:r w:rsidR="00DB0464">
        <w:rPr>
          <w:rFonts w:ascii="Trebuchet MS" w:hAnsi="Trebuchet MS"/>
        </w:rPr>
        <w:t xml:space="preserve">(pp </w:t>
      </w:r>
      <w:r>
        <w:rPr>
          <w:rFonts w:ascii="Trebuchet MS" w:hAnsi="Trebuchet MS"/>
        </w:rPr>
        <w:t>447-457</w:t>
      </w:r>
      <w:r w:rsidR="00DB0464">
        <w:rPr>
          <w:rFonts w:ascii="Trebuchet MS" w:hAnsi="Trebuchet MS"/>
        </w:rPr>
        <w:t>)</w:t>
      </w:r>
    </w:p>
    <w:p w14:paraId="42E2BDCA" w14:textId="5F465B69" w:rsidR="00AE4E05" w:rsidRPr="00AE4E05" w:rsidRDefault="00AE4E05" w:rsidP="00AE4E05">
      <w:pPr>
        <w:pStyle w:val="ListParagraph"/>
        <w:numPr>
          <w:ilvl w:val="1"/>
          <w:numId w:val="2"/>
        </w:numPr>
        <w:ind w:hanging="180"/>
        <w:rPr>
          <w:rFonts w:ascii="Trebuchet MS" w:hAnsi="Trebuchet MS"/>
          <w:b/>
          <w:bCs/>
        </w:rPr>
      </w:pPr>
      <w:r>
        <w:rPr>
          <w:rFonts w:ascii="Trebuchet MS" w:hAnsi="Trebuchet MS"/>
        </w:rPr>
        <w:t xml:space="preserve">In the last year of </w:t>
      </w:r>
      <w:r w:rsidR="00DB0464" w:rsidRPr="00DB0464">
        <w:rPr>
          <w:rFonts w:ascii="Trebuchet MS" w:hAnsi="Trebuchet MS"/>
        </w:rPr>
        <w:t>J</w:t>
      </w:r>
      <w:r w:rsidR="00FC6978">
        <w:rPr>
          <w:rFonts w:ascii="Trebuchet MS" w:hAnsi="Trebuchet MS"/>
        </w:rPr>
        <w:t>MH</w:t>
      </w:r>
      <w:r>
        <w:rPr>
          <w:rFonts w:ascii="Trebuchet MS" w:hAnsi="Trebuchet MS"/>
        </w:rPr>
        <w:t xml:space="preserve">’s life, SCOTUS reversed itself in its </w:t>
      </w:r>
      <w:r w:rsidRPr="00AE4E05">
        <w:rPr>
          <w:rFonts w:ascii="Trebuchet MS" w:hAnsi="Trebuchet MS"/>
          <w:b/>
          <w:bCs/>
          <w:i/>
          <w:iCs/>
        </w:rPr>
        <w:t>E. C. Knight</w:t>
      </w:r>
      <w:r w:rsidRPr="00AE4E05">
        <w:rPr>
          <w:rFonts w:ascii="Trebuchet MS" w:hAnsi="Trebuchet MS"/>
          <w:b/>
          <w:bCs/>
        </w:rPr>
        <w:t xml:space="preserve"> decision</w:t>
      </w:r>
      <w:r>
        <w:rPr>
          <w:rFonts w:ascii="Trebuchet MS" w:hAnsi="Trebuchet MS"/>
        </w:rPr>
        <w:t xml:space="preserve"> that the </w:t>
      </w:r>
      <w:r w:rsidRPr="00AE4E05">
        <w:rPr>
          <w:rFonts w:ascii="Trebuchet MS" w:hAnsi="Trebuchet MS"/>
          <w:b/>
          <w:bCs/>
        </w:rPr>
        <w:t>Sherman Antitrust Act</w:t>
      </w:r>
      <w:r>
        <w:rPr>
          <w:rFonts w:ascii="Trebuchet MS" w:hAnsi="Trebuchet MS"/>
        </w:rPr>
        <w:t xml:space="preserve"> did not allow regulation of manufacturing monopolies (the majority), but only commercial ones.  The new r</w:t>
      </w:r>
      <w:r w:rsidRPr="00AE4E05">
        <w:rPr>
          <w:rFonts w:ascii="Trebuchet MS" w:hAnsi="Trebuchet MS"/>
        </w:rPr>
        <w:t>uling led to breakups of Standard Oil &amp; American Tobacco Company, long case against U.S. Steel, and establishment of Federal Trade Commission in 1914.</w:t>
      </w:r>
    </w:p>
    <w:p w14:paraId="15B5182B" w14:textId="7F18392C" w:rsidR="00AE4E05" w:rsidRPr="00AE4E05" w:rsidRDefault="00AE4E05" w:rsidP="00AE4E05">
      <w:pPr>
        <w:pStyle w:val="ListParagraph"/>
        <w:numPr>
          <w:ilvl w:val="1"/>
          <w:numId w:val="2"/>
        </w:numPr>
        <w:ind w:hanging="180"/>
        <w:rPr>
          <w:rFonts w:ascii="Trebuchet MS" w:hAnsi="Trebuchet MS"/>
          <w:b/>
          <w:bCs/>
        </w:rPr>
      </w:pPr>
      <w:r>
        <w:rPr>
          <w:rFonts w:ascii="Trebuchet MS" w:hAnsi="Trebuchet MS"/>
        </w:rPr>
        <w:t xml:space="preserve">Reversal added fuel to speculation that SCOTUS might also reconsider </w:t>
      </w:r>
      <w:r w:rsidRPr="00AE4E05">
        <w:rPr>
          <w:rFonts w:ascii="Trebuchet MS" w:hAnsi="Trebuchet MS"/>
          <w:b/>
          <w:bCs/>
          <w:i/>
          <w:iCs/>
        </w:rPr>
        <w:t>Pollock</w:t>
      </w:r>
      <w:r w:rsidRPr="00AE4E05">
        <w:rPr>
          <w:rFonts w:ascii="Trebuchet MS" w:hAnsi="Trebuchet MS"/>
          <w:b/>
          <w:bCs/>
        </w:rPr>
        <w:t xml:space="preserve"> income tax ruling</w:t>
      </w:r>
      <w:r>
        <w:rPr>
          <w:rFonts w:ascii="Trebuchet MS" w:hAnsi="Trebuchet MS"/>
        </w:rPr>
        <w:t xml:space="preserve">, as federal government’s reliance on ever-higher tariffs for funds was strangling the economy.  When the House passed another Pollock-like tax law, Senate opponents sought an agreement to seek a constitutional amendment instead, generally a more difficult hurdle.  </w:t>
      </w:r>
      <w:r w:rsidRPr="00AE4E05">
        <w:rPr>
          <w:rFonts w:ascii="Trebuchet MS" w:hAnsi="Trebuchet MS"/>
        </w:rPr>
        <w:t>Popular support allowed hurried passage, ratifying a 16</w:t>
      </w:r>
      <w:r w:rsidRPr="00AE4E05">
        <w:rPr>
          <w:rFonts w:ascii="Trebuchet MS" w:hAnsi="Trebuchet MS"/>
          <w:vertAlign w:val="superscript"/>
        </w:rPr>
        <w:t>th</w:t>
      </w:r>
      <w:r w:rsidRPr="00AE4E05">
        <w:rPr>
          <w:rFonts w:ascii="Trebuchet MS" w:hAnsi="Trebuchet MS"/>
        </w:rPr>
        <w:t xml:space="preserve"> Amendment in 1913, and congress quickly passed an income tax just in time for WWI.</w:t>
      </w:r>
    </w:p>
    <w:p w14:paraId="041506D8" w14:textId="1C92AF5B" w:rsidR="00AE4E05" w:rsidRDefault="00AE4E05" w:rsidP="00AE4E05">
      <w:pPr>
        <w:pStyle w:val="ListParagraph"/>
        <w:numPr>
          <w:ilvl w:val="1"/>
          <w:numId w:val="2"/>
        </w:numPr>
        <w:ind w:hanging="180"/>
        <w:rPr>
          <w:rFonts w:ascii="Trebuchet MS" w:hAnsi="Trebuchet MS"/>
        </w:rPr>
      </w:pPr>
      <w:r w:rsidRPr="00AE4E05">
        <w:rPr>
          <w:rFonts w:ascii="Trebuchet MS" w:hAnsi="Trebuchet MS"/>
          <w:b/>
          <w:bCs/>
          <w:i/>
          <w:iCs/>
        </w:rPr>
        <w:t>Lochner</w:t>
      </w:r>
      <w:r w:rsidRPr="00AE4E05">
        <w:rPr>
          <w:rFonts w:ascii="Trebuchet MS" w:hAnsi="Trebuchet MS"/>
        </w:rPr>
        <w:t xml:space="preserve"> Era</w:t>
      </w:r>
      <w:r>
        <w:rPr>
          <w:rFonts w:ascii="Trebuchet MS" w:hAnsi="Trebuchet MS"/>
        </w:rPr>
        <w:t xml:space="preserve"> striking down state laws which sought worker protections (</w:t>
      </w:r>
      <w:proofErr w:type="gramStart"/>
      <w:r>
        <w:rPr>
          <w:rFonts w:ascii="Trebuchet MS" w:hAnsi="Trebuchet MS"/>
        </w:rPr>
        <w:t>e.g.</w:t>
      </w:r>
      <w:proofErr w:type="gramEnd"/>
      <w:r>
        <w:rPr>
          <w:rFonts w:ascii="Trebuchet MS" w:hAnsi="Trebuchet MS"/>
        </w:rPr>
        <w:t xml:space="preserve"> minimum wage &amp; limited hours) lasted 1905</w:t>
      </w:r>
      <w:r w:rsidRPr="00AE4E05">
        <w:rPr>
          <w:rFonts w:ascii="Trebuchet MS" w:hAnsi="Trebuchet MS"/>
        </w:rPr>
        <w:sym w:font="Wingdings" w:char="F0E0"/>
      </w:r>
      <w:r>
        <w:rPr>
          <w:rFonts w:ascii="Trebuchet MS" w:hAnsi="Trebuchet MS"/>
        </w:rPr>
        <w:t>1936, ultimately frustrating Roosevelt’s New Deal Programs, as “Four Horsemen” anchored the pro-business wing of SCOTUS</w:t>
      </w:r>
    </w:p>
    <w:p w14:paraId="48123F6E" w14:textId="4587DECD" w:rsidR="00AE4E05" w:rsidRDefault="00AE4E05" w:rsidP="00AE4E05">
      <w:pPr>
        <w:pStyle w:val="ListParagraph"/>
        <w:numPr>
          <w:ilvl w:val="1"/>
          <w:numId w:val="2"/>
        </w:numPr>
        <w:ind w:hanging="180"/>
        <w:rPr>
          <w:rFonts w:ascii="Trebuchet MS" w:hAnsi="Trebuchet MS"/>
        </w:rPr>
      </w:pPr>
      <w:r>
        <w:rPr>
          <w:rFonts w:ascii="Trebuchet MS" w:hAnsi="Trebuchet MS"/>
        </w:rPr>
        <w:t xml:space="preserve">In 1936, when Roosevelt won 46/48 states and Democrats a 5:1 House majority and a 4:1 Senate majority, he threatened to appoint a new justice for every justice over 70 who refused to retire (potentially 6).  Swing voter </w:t>
      </w:r>
      <w:r w:rsidRPr="00AE4E05">
        <w:rPr>
          <w:rFonts w:ascii="Trebuchet MS" w:hAnsi="Trebuchet MS"/>
          <w:i/>
          <w:iCs/>
        </w:rPr>
        <w:t>“Owen Roberts switched sides, leaving the Four Horsemen in the dust.”</w:t>
      </w:r>
      <w:r>
        <w:rPr>
          <w:rFonts w:ascii="Trebuchet MS" w:hAnsi="Trebuchet MS"/>
        </w:rPr>
        <w:t xml:space="preserve"> (p 456</w:t>
      </w:r>
      <w:proofErr w:type="gramStart"/>
      <w:r>
        <w:rPr>
          <w:rFonts w:ascii="Trebuchet MS" w:hAnsi="Trebuchet MS"/>
        </w:rPr>
        <w:t>)  Came</w:t>
      </w:r>
      <w:proofErr w:type="gramEnd"/>
      <w:r>
        <w:rPr>
          <w:rFonts w:ascii="Trebuchet MS" w:hAnsi="Trebuchet MS"/>
        </w:rPr>
        <w:t xml:space="preserve"> to be known as “switch in time that saved nine.”</w:t>
      </w:r>
    </w:p>
    <w:p w14:paraId="18158EBE" w14:textId="77777777" w:rsidR="00AE4E05" w:rsidRDefault="00AE4E05" w:rsidP="00AE4E05">
      <w:pPr>
        <w:pStyle w:val="ListParagraph"/>
        <w:numPr>
          <w:ilvl w:val="1"/>
          <w:numId w:val="2"/>
        </w:numPr>
        <w:ind w:hanging="180"/>
        <w:rPr>
          <w:rFonts w:ascii="Trebuchet MS" w:hAnsi="Trebuchet MS"/>
        </w:rPr>
      </w:pPr>
      <w:r>
        <w:rPr>
          <w:rFonts w:ascii="Trebuchet MS" w:hAnsi="Trebuchet MS"/>
        </w:rPr>
        <w:t>Within weeks, SCOTUS has approved the Social Security Act and National Labor Relations Act, two of the most consequential New Deal programs.</w:t>
      </w:r>
    </w:p>
    <w:p w14:paraId="087B47D3" w14:textId="4D1D6CF4" w:rsidR="00AE4E05" w:rsidRPr="00AE4E05" w:rsidRDefault="00AE4E05" w:rsidP="00AE4E05">
      <w:pPr>
        <w:pStyle w:val="ListParagraph"/>
        <w:numPr>
          <w:ilvl w:val="1"/>
          <w:numId w:val="2"/>
        </w:numPr>
        <w:ind w:hanging="180"/>
        <w:rPr>
          <w:rFonts w:ascii="Trebuchet MS" w:hAnsi="Trebuchet MS"/>
        </w:rPr>
      </w:pPr>
      <w:r>
        <w:rPr>
          <w:rFonts w:ascii="Trebuchet MS" w:hAnsi="Trebuchet MS"/>
        </w:rPr>
        <w:t>Defeat of Lochner</w:t>
      </w:r>
      <w:r>
        <w:rPr>
          <w:rFonts w:ascii="Trebuchet MS" w:hAnsi="Trebuchet MS"/>
        </w:rPr>
        <w:sym w:font="Symbol" w:char="F02D"/>
      </w:r>
      <w:r>
        <w:rPr>
          <w:rFonts w:ascii="Trebuchet MS" w:hAnsi="Trebuchet MS"/>
        </w:rPr>
        <w:t>”</w:t>
      </w:r>
      <w:r w:rsidRPr="00AE4E05">
        <w:rPr>
          <w:rFonts w:ascii="Trebuchet MS" w:hAnsi="Trebuchet MS"/>
          <w:i/>
          <w:iCs/>
        </w:rPr>
        <w:t>often ranked as one of the three great turning points in American law, along with the advent of the Post Civil War amendments and the civil rights movement of the 1960s.  Of all of these three momentous turning points, John Marshall Harlan is the only point of connection.”</w:t>
      </w:r>
      <w:r>
        <w:rPr>
          <w:rFonts w:ascii="Trebuchet MS" w:hAnsi="Trebuchet MS"/>
        </w:rPr>
        <w:t xml:space="preserve"> (p 457)</w:t>
      </w:r>
      <w:r>
        <w:rPr>
          <w:rFonts w:ascii="Trebuchet MS" w:hAnsi="Trebuchet MS"/>
        </w:rPr>
        <w:br/>
      </w:r>
    </w:p>
    <w:p w14:paraId="5C9722C6" w14:textId="1A0A2F7D" w:rsidR="00DB0464" w:rsidRPr="00DB0464" w:rsidRDefault="00AE4E05" w:rsidP="00DB0464">
      <w:pPr>
        <w:pStyle w:val="ListParagraph"/>
        <w:numPr>
          <w:ilvl w:val="0"/>
          <w:numId w:val="2"/>
        </w:numPr>
        <w:ind w:left="540"/>
        <w:rPr>
          <w:rFonts w:ascii="Trebuchet MS" w:hAnsi="Trebuchet MS"/>
          <w:b/>
          <w:bCs/>
        </w:rPr>
      </w:pPr>
      <w:r>
        <w:rPr>
          <w:rFonts w:ascii="Trebuchet MS" w:hAnsi="Trebuchet MS"/>
          <w:b/>
          <w:bCs/>
        </w:rPr>
        <w:t>A Vicarious Atonement</w:t>
      </w:r>
      <w:r w:rsidR="00DB0464">
        <w:rPr>
          <w:rFonts w:ascii="Trebuchet MS" w:hAnsi="Trebuchet MS"/>
        </w:rPr>
        <w:t xml:space="preserve"> (pp </w:t>
      </w:r>
      <w:r>
        <w:rPr>
          <w:rFonts w:ascii="Trebuchet MS" w:hAnsi="Trebuchet MS"/>
        </w:rPr>
        <w:t>458-469</w:t>
      </w:r>
      <w:r w:rsidR="00DB0464">
        <w:rPr>
          <w:rFonts w:ascii="Trebuchet MS" w:hAnsi="Trebuchet MS"/>
        </w:rPr>
        <w:t>)</w:t>
      </w:r>
    </w:p>
    <w:p w14:paraId="3CB82C02" w14:textId="75123BD0" w:rsidR="00FC6978" w:rsidRPr="00AE4E05" w:rsidRDefault="00AE4E05" w:rsidP="00FC6978">
      <w:pPr>
        <w:pStyle w:val="ListParagraph"/>
        <w:numPr>
          <w:ilvl w:val="1"/>
          <w:numId w:val="2"/>
        </w:numPr>
        <w:ind w:hanging="180"/>
        <w:rPr>
          <w:rFonts w:ascii="Trebuchet MS" w:hAnsi="Trebuchet MS"/>
          <w:b/>
          <w:bCs/>
        </w:rPr>
      </w:pPr>
      <w:r>
        <w:rPr>
          <w:rFonts w:ascii="Trebuchet MS" w:hAnsi="Trebuchet MS"/>
        </w:rPr>
        <w:t>Robert Jr.</w:t>
      </w:r>
      <w:r>
        <w:rPr>
          <w:rFonts w:ascii="Trebuchet MS" w:hAnsi="Trebuchet MS"/>
        </w:rPr>
        <w:sym w:font="Symbol" w:char="F02D"/>
      </w:r>
      <w:r>
        <w:rPr>
          <w:rFonts w:ascii="Trebuchet MS" w:hAnsi="Trebuchet MS"/>
        </w:rPr>
        <w:t>lawyer, business owner, and senior civil servant</w:t>
      </w:r>
      <w:r>
        <w:rPr>
          <w:rFonts w:ascii="Trebuchet MS" w:hAnsi="Trebuchet MS"/>
        </w:rPr>
        <w:sym w:font="Symbol" w:char="F02D"/>
      </w:r>
      <w:r>
        <w:rPr>
          <w:rFonts w:ascii="Trebuchet MS" w:hAnsi="Trebuchet MS"/>
        </w:rPr>
        <w:t>found himself under racist Woodrow Wilson’s administration with segregated bathrooms/eating areas and reduced salary.  His son, Robert III, ultimately suffered financial ruin.</w:t>
      </w:r>
    </w:p>
    <w:p w14:paraId="4E94E046" w14:textId="158B1709" w:rsidR="00AE4E05" w:rsidRPr="00AE4E05" w:rsidRDefault="00AE4E05" w:rsidP="00A50191">
      <w:pPr>
        <w:pStyle w:val="ListParagraph"/>
        <w:numPr>
          <w:ilvl w:val="1"/>
          <w:numId w:val="2"/>
        </w:numPr>
        <w:ind w:hanging="180"/>
        <w:rPr>
          <w:rFonts w:ascii="Trebuchet MS" w:hAnsi="Trebuchet MS"/>
          <w:b/>
          <w:bCs/>
        </w:rPr>
      </w:pPr>
      <w:r w:rsidRPr="00AE4E05">
        <w:rPr>
          <w:rFonts w:ascii="Trebuchet MS" w:hAnsi="Trebuchet MS"/>
        </w:rPr>
        <w:t>In 30s, NAACP brought cases of Blacks denied entry to law schools where no alternative existed.  Despite legal victories, little changed</w:t>
      </w:r>
      <w:r>
        <w:rPr>
          <w:rFonts w:ascii="Trebuchet MS" w:hAnsi="Trebuchet MS"/>
        </w:rPr>
        <w:t>, and efforts diminished during WWII, as its inter-racial board worried about appearing unpatriotic.</w:t>
      </w:r>
    </w:p>
    <w:p w14:paraId="13FF6474" w14:textId="69C4DC0B" w:rsidR="00AE4E05" w:rsidRPr="00AE4E05" w:rsidRDefault="00AE4E05" w:rsidP="00A50191">
      <w:pPr>
        <w:pStyle w:val="ListParagraph"/>
        <w:numPr>
          <w:ilvl w:val="1"/>
          <w:numId w:val="2"/>
        </w:numPr>
        <w:ind w:hanging="180"/>
        <w:rPr>
          <w:rFonts w:ascii="Trebuchet MS" w:hAnsi="Trebuchet MS"/>
          <w:b/>
          <w:bCs/>
        </w:rPr>
      </w:pPr>
      <w:r>
        <w:rPr>
          <w:rFonts w:ascii="Trebuchet MS" w:hAnsi="Trebuchet MS"/>
        </w:rPr>
        <w:t xml:space="preserve">NAACP’s Legal Defense Fund under Thurgood Marshall determined to attack </w:t>
      </w:r>
      <w:r w:rsidRPr="00AE4E05">
        <w:rPr>
          <w:rFonts w:ascii="Trebuchet MS" w:hAnsi="Trebuchet MS"/>
          <w:i/>
          <w:iCs/>
        </w:rPr>
        <w:t>Plessy</w:t>
      </w:r>
      <w:r>
        <w:rPr>
          <w:rFonts w:ascii="Trebuchet MS" w:hAnsi="Trebuchet MS"/>
        </w:rPr>
        <w:t xml:space="preserve"> head on, declaring JMH’s views that separate were NOT equal were correct and should become the law of the land.</w:t>
      </w:r>
    </w:p>
    <w:p w14:paraId="41326E10" w14:textId="1745A533" w:rsidR="00AE4E05" w:rsidRDefault="00AE4E05" w:rsidP="00AE4E05">
      <w:pPr>
        <w:pStyle w:val="ListParagraph"/>
        <w:numPr>
          <w:ilvl w:val="1"/>
          <w:numId w:val="2"/>
        </w:numPr>
        <w:ind w:hanging="180"/>
        <w:rPr>
          <w:rFonts w:ascii="Trebuchet MS" w:hAnsi="Trebuchet MS"/>
          <w:b/>
          <w:bCs/>
          <w:i/>
          <w:iCs/>
        </w:rPr>
      </w:pPr>
      <w:r w:rsidRPr="00AE4E05">
        <w:rPr>
          <w:rFonts w:ascii="Trebuchet MS" w:hAnsi="Trebuchet MS"/>
          <w:i/>
          <w:iCs/>
        </w:rPr>
        <w:t xml:space="preserve">Brown v Board of Education </w:t>
      </w:r>
      <w:r>
        <w:rPr>
          <w:rFonts w:ascii="Trebuchet MS" w:hAnsi="Trebuchet MS"/>
        </w:rPr>
        <w:t xml:space="preserve">was argued in 1953 but carried over to 1954, during which time Chief Justice Vinson died and was replaced by Earl Warren.  He wrote </w:t>
      </w:r>
      <w:r>
        <w:rPr>
          <w:rFonts w:ascii="Trebuchet MS" w:hAnsi="Trebuchet MS"/>
        </w:rPr>
        <w:lastRenderedPageBreak/>
        <w:t>the unanimous opinion, declaring that, “</w:t>
      </w:r>
      <w:r>
        <w:rPr>
          <w:rFonts w:ascii="Trebuchet MS" w:hAnsi="Trebuchet MS"/>
          <w:i/>
          <w:iCs/>
        </w:rPr>
        <w:t xml:space="preserve">in the field of public education, the doctrine of ‘separate but equal’ has no place.”  </w:t>
      </w:r>
      <w:r>
        <w:rPr>
          <w:rFonts w:ascii="Trebuchet MS" w:hAnsi="Trebuchet MS"/>
        </w:rPr>
        <w:t>This had been JMH’s argument 58 years earlier.</w:t>
      </w:r>
      <w:r>
        <w:rPr>
          <w:rFonts w:ascii="Trebuchet MS" w:hAnsi="Trebuchet MS"/>
        </w:rPr>
        <w:br/>
      </w:r>
    </w:p>
    <w:p w14:paraId="65DF4508" w14:textId="058A22C1" w:rsidR="00AE4E05" w:rsidRDefault="00AE4E05" w:rsidP="00AE4E05">
      <w:pPr>
        <w:pStyle w:val="ListParagraph"/>
        <w:numPr>
          <w:ilvl w:val="0"/>
          <w:numId w:val="2"/>
        </w:numPr>
        <w:ind w:hanging="450"/>
        <w:rPr>
          <w:rFonts w:ascii="Trebuchet MS" w:hAnsi="Trebuchet MS"/>
          <w:b/>
          <w:bCs/>
        </w:rPr>
      </w:pPr>
      <w:r>
        <w:rPr>
          <w:rFonts w:ascii="Trebuchet MS" w:hAnsi="Trebuchet MS"/>
          <w:b/>
          <w:bCs/>
        </w:rPr>
        <w:t>Justice Harlan Concurring (pp 470-484)</w:t>
      </w:r>
    </w:p>
    <w:p w14:paraId="1F640BE0" w14:textId="6389803A" w:rsidR="00AE4E05" w:rsidRPr="00AE4E05" w:rsidRDefault="00AE4E05" w:rsidP="00AE4E05">
      <w:pPr>
        <w:pStyle w:val="ListParagraph"/>
        <w:numPr>
          <w:ilvl w:val="1"/>
          <w:numId w:val="2"/>
        </w:numPr>
        <w:ind w:hanging="180"/>
        <w:rPr>
          <w:rFonts w:ascii="Trebuchet MS" w:hAnsi="Trebuchet MS"/>
          <w:b/>
          <w:bCs/>
        </w:rPr>
      </w:pPr>
      <w:r w:rsidRPr="00AE4E05">
        <w:rPr>
          <w:rFonts w:ascii="Trebuchet MS" w:hAnsi="Trebuchet MS"/>
          <w:b/>
          <w:bCs/>
          <w:i/>
          <w:iCs/>
        </w:rPr>
        <w:t>Brown v Board of Education</w:t>
      </w:r>
      <w:r>
        <w:rPr>
          <w:rFonts w:ascii="Trebuchet MS" w:hAnsi="Trebuchet MS"/>
        </w:rPr>
        <w:t xml:space="preserve"> - NYTimes noted that </w:t>
      </w:r>
      <w:r w:rsidRPr="00AE4E05">
        <w:rPr>
          <w:rFonts w:ascii="Trebuchet MS" w:hAnsi="Trebuchet MS"/>
          <w:i/>
          <w:iCs/>
        </w:rPr>
        <w:t>“there was not one word in Chief Justice Warren’s opinion that was inconsistent with the earlier views of Justice Harlan.”</w:t>
      </w:r>
      <w:r>
        <w:rPr>
          <w:rFonts w:ascii="Trebuchet MS" w:hAnsi="Trebuchet MS"/>
          <w:i/>
          <w:iCs/>
        </w:rPr>
        <w:t xml:space="preserve"> </w:t>
      </w:r>
      <w:r>
        <w:rPr>
          <w:rFonts w:ascii="Trebuchet MS" w:hAnsi="Trebuchet MS"/>
        </w:rPr>
        <w:t xml:space="preserve">(p 470) </w:t>
      </w:r>
      <w:r>
        <w:rPr>
          <w:rFonts w:ascii="Trebuchet MS" w:hAnsi="Trebuchet MS"/>
          <w:i/>
          <w:iCs/>
        </w:rPr>
        <w:t xml:space="preserve">“The application of the Bill of Rights to state actions would be one of the greatest expansions of liberty in US history…The one justice [JMH] proved to be more prescient than the other forty-two.”  </w:t>
      </w:r>
      <w:r>
        <w:rPr>
          <w:rFonts w:ascii="Trebuchet MS" w:hAnsi="Trebuchet MS"/>
        </w:rPr>
        <w:t>Six months after the ruling, Eisenhower nominated grandson JMH II to SCOTUS.</w:t>
      </w:r>
      <w:r>
        <w:rPr>
          <w:rFonts w:ascii="Trebuchet MS" w:hAnsi="Trebuchet MS"/>
          <w:i/>
          <w:iCs/>
        </w:rPr>
        <w:t xml:space="preserve"> </w:t>
      </w:r>
      <w:r w:rsidRPr="00AE4E05">
        <w:rPr>
          <w:rFonts w:ascii="Trebuchet MS" w:hAnsi="Trebuchet MS"/>
        </w:rPr>
        <w:t>(p 472)</w:t>
      </w:r>
    </w:p>
    <w:p w14:paraId="5475E49F" w14:textId="249ECCDD" w:rsidR="00AE4E05" w:rsidRPr="00AE4E05" w:rsidRDefault="00AE4E05" w:rsidP="00AE4E05">
      <w:pPr>
        <w:pStyle w:val="ListParagraph"/>
        <w:numPr>
          <w:ilvl w:val="1"/>
          <w:numId w:val="2"/>
        </w:numPr>
        <w:ind w:hanging="180"/>
        <w:rPr>
          <w:rFonts w:ascii="Trebuchet MS" w:hAnsi="Trebuchet MS"/>
          <w:b/>
          <w:bCs/>
        </w:rPr>
      </w:pPr>
      <w:r>
        <w:rPr>
          <w:rFonts w:ascii="Trebuchet MS" w:hAnsi="Trebuchet MS"/>
          <w:b/>
          <w:bCs/>
        </w:rPr>
        <w:t>Civil Rights Act of 1964</w:t>
      </w:r>
      <w:r>
        <w:rPr>
          <w:rFonts w:ascii="Trebuchet MS" w:hAnsi="Trebuchet MS"/>
        </w:rPr>
        <w:t xml:space="preserve"> – Banned discrimination in public accommodations.  SCOTUS ruled it was justified under Congress’s power to regulate interstate commerce, reflecting JMH’s 81-year-old dissent overturning the </w:t>
      </w:r>
      <w:r w:rsidRPr="00AE4E05">
        <w:rPr>
          <w:rFonts w:ascii="Trebuchet MS" w:hAnsi="Trebuchet MS"/>
          <w:i/>
          <w:iCs/>
        </w:rPr>
        <w:t>Civil Rights Cases of 1883</w:t>
      </w:r>
      <w:r>
        <w:rPr>
          <w:rFonts w:ascii="Trebuchet MS" w:hAnsi="Trebuchet MS"/>
        </w:rPr>
        <w:t>.</w:t>
      </w:r>
    </w:p>
    <w:p w14:paraId="7B25FDCB" w14:textId="36F1358F" w:rsidR="00AE4E05" w:rsidRPr="00AE4E05" w:rsidRDefault="00AE4E05" w:rsidP="00AE4E05">
      <w:pPr>
        <w:pStyle w:val="ListParagraph"/>
        <w:numPr>
          <w:ilvl w:val="1"/>
          <w:numId w:val="2"/>
        </w:numPr>
        <w:ind w:hanging="180"/>
        <w:rPr>
          <w:rFonts w:ascii="Trebuchet MS" w:hAnsi="Trebuchet MS"/>
          <w:b/>
          <w:bCs/>
        </w:rPr>
      </w:pPr>
      <w:r>
        <w:rPr>
          <w:rFonts w:ascii="Trebuchet MS" w:hAnsi="Trebuchet MS"/>
          <w:b/>
          <w:bCs/>
        </w:rPr>
        <w:t>Affirmative Action</w:t>
      </w:r>
      <w:r>
        <w:rPr>
          <w:rFonts w:ascii="Trebuchet MS" w:hAnsi="Trebuchet MS"/>
        </w:rPr>
        <w:t xml:space="preserve"> – </w:t>
      </w:r>
      <w:r w:rsidRPr="00AE4E05">
        <w:rPr>
          <w:rFonts w:ascii="Trebuchet MS" w:hAnsi="Trebuchet MS"/>
          <w:i/>
          <w:iCs/>
        </w:rPr>
        <w:t>Bakke</w:t>
      </w:r>
      <w:r>
        <w:rPr>
          <w:rFonts w:ascii="Trebuchet MS" w:hAnsi="Trebuchet MS"/>
          <w:i/>
          <w:iCs/>
        </w:rPr>
        <w:t xml:space="preserve"> </w:t>
      </w:r>
      <w:r>
        <w:rPr>
          <w:rFonts w:ascii="Trebuchet MS" w:hAnsi="Trebuchet MS"/>
        </w:rPr>
        <w:t xml:space="preserve">case (white student successfully challenged 16% minority quota at UC Davis in 5:4 ruling).  Thurgood Marshall argued, “Affirmative action is an issue today because our Constitution was not color blind in the sixty years between </w:t>
      </w:r>
      <w:r w:rsidRPr="00AE4E05">
        <w:rPr>
          <w:rFonts w:ascii="Trebuchet MS" w:hAnsi="Trebuchet MS"/>
          <w:i/>
          <w:iCs/>
        </w:rPr>
        <w:t>Plessy</w:t>
      </w:r>
      <w:r>
        <w:rPr>
          <w:rFonts w:ascii="Trebuchet MS" w:hAnsi="Trebuchet MS"/>
        </w:rPr>
        <w:t xml:space="preserve"> and </w:t>
      </w:r>
      <w:r w:rsidRPr="00AE4E05">
        <w:rPr>
          <w:rFonts w:ascii="Trebuchet MS" w:hAnsi="Trebuchet MS"/>
          <w:i/>
          <w:iCs/>
        </w:rPr>
        <w:t>Brown</w:t>
      </w:r>
      <w:r>
        <w:rPr>
          <w:rFonts w:ascii="Trebuchet MS" w:hAnsi="Trebuchet MS"/>
        </w:rPr>
        <w:t>.” (p 477)</w:t>
      </w:r>
    </w:p>
    <w:p w14:paraId="5EA06CFD" w14:textId="5A4393B3" w:rsidR="00AE4E05" w:rsidRPr="00AE4E05" w:rsidRDefault="00AE4E05" w:rsidP="00AE4E05">
      <w:pPr>
        <w:pStyle w:val="ListParagraph"/>
        <w:numPr>
          <w:ilvl w:val="1"/>
          <w:numId w:val="2"/>
        </w:numPr>
        <w:ind w:hanging="180"/>
        <w:rPr>
          <w:rFonts w:ascii="Trebuchet MS" w:hAnsi="Trebuchet MS"/>
          <w:b/>
          <w:bCs/>
        </w:rPr>
      </w:pPr>
      <w:r>
        <w:rPr>
          <w:rFonts w:ascii="Trebuchet MS" w:hAnsi="Trebuchet MS"/>
          <w:b/>
          <w:bCs/>
        </w:rPr>
        <w:t>Insular Cases</w:t>
      </w:r>
      <w:r>
        <w:rPr>
          <w:rFonts w:ascii="Trebuchet MS" w:hAnsi="Trebuchet MS"/>
        </w:rPr>
        <w:t xml:space="preserve"> – JMH’s dissent that “Constitution follow the flag” returned in Guantanamo cases.</w:t>
      </w:r>
    </w:p>
    <w:p w14:paraId="6D861151" w14:textId="363B662D" w:rsidR="00AE4E05" w:rsidRPr="00AE4E05" w:rsidRDefault="00AE4E05" w:rsidP="00AE4E05">
      <w:pPr>
        <w:pStyle w:val="ListParagraph"/>
        <w:numPr>
          <w:ilvl w:val="1"/>
          <w:numId w:val="2"/>
        </w:numPr>
        <w:ind w:hanging="180"/>
        <w:rPr>
          <w:rFonts w:ascii="Trebuchet MS" w:hAnsi="Trebuchet MS"/>
          <w:b/>
          <w:bCs/>
        </w:rPr>
      </w:pPr>
      <w:r>
        <w:rPr>
          <w:rFonts w:ascii="Trebuchet MS" w:hAnsi="Trebuchet MS"/>
          <w:b/>
          <w:bCs/>
        </w:rPr>
        <w:t>Bipartisan Appeal</w:t>
      </w:r>
      <w:r>
        <w:rPr>
          <w:rFonts w:ascii="Trebuchet MS" w:hAnsi="Trebuchet MS"/>
        </w:rPr>
        <w:t xml:space="preserve"> – Liberals [</w:t>
      </w:r>
      <w:proofErr w:type="gramStart"/>
      <w:r w:rsidRPr="00AE4E05">
        <w:rPr>
          <w:rFonts w:ascii="Trebuchet MS" w:hAnsi="Trebuchet MS"/>
          <w:i/>
          <w:iCs/>
        </w:rPr>
        <w:t>e.g.</w:t>
      </w:r>
      <w:proofErr w:type="gramEnd"/>
      <w:r>
        <w:rPr>
          <w:rFonts w:ascii="Trebuchet MS" w:hAnsi="Trebuchet MS"/>
        </w:rPr>
        <w:t xml:space="preserve"> Thurgood Marshall] admire the “sheer humanity of his jurisprudence</w:t>
      </w:r>
      <w:r>
        <w:rPr>
          <w:rFonts w:ascii="Trebuchet MS" w:hAnsi="Trebuchet MS"/>
        </w:rPr>
        <w:sym w:font="Symbol" w:char="F02D"/>
      </w:r>
      <w:r>
        <w:rPr>
          <w:rFonts w:ascii="Trebuchet MS" w:hAnsi="Trebuchet MS"/>
        </w:rPr>
        <w:t>the way he cut through the doctrinal thicket to show how cases impacted real lives</w:t>
      </w:r>
      <w:r>
        <w:rPr>
          <w:rFonts w:ascii="Trebuchet MS" w:hAnsi="Trebuchet MS"/>
        </w:rPr>
        <w:sym w:font="Symbol" w:char="F02D"/>
      </w:r>
      <w:r>
        <w:rPr>
          <w:rFonts w:ascii="Trebuchet MS" w:hAnsi="Trebuchet MS"/>
        </w:rPr>
        <w:t>while conservatives [</w:t>
      </w:r>
      <w:r>
        <w:rPr>
          <w:rFonts w:ascii="Trebuchet MS" w:hAnsi="Trebuchet MS"/>
          <w:i/>
          <w:iCs/>
        </w:rPr>
        <w:t>e.g.</w:t>
      </w:r>
      <w:r>
        <w:rPr>
          <w:rFonts w:ascii="Trebuchet MS" w:hAnsi="Trebuchet MS"/>
        </w:rPr>
        <w:t xml:space="preserve"> Antonin Scalia] applaud his faithfulness to the original intent of the Constitution.” (p 481)</w:t>
      </w:r>
    </w:p>
    <w:p w14:paraId="7BAD95B1" w14:textId="5E579C3E" w:rsidR="00AE4E05" w:rsidRPr="00AE4E05" w:rsidRDefault="00AE4E05" w:rsidP="00DA3D98">
      <w:pPr>
        <w:pStyle w:val="ListParagraph"/>
        <w:numPr>
          <w:ilvl w:val="1"/>
          <w:numId w:val="2"/>
        </w:numPr>
        <w:ind w:hanging="180"/>
        <w:rPr>
          <w:rFonts w:ascii="Trebuchet MS" w:hAnsi="Trebuchet MS"/>
          <w:b/>
          <w:bCs/>
          <w:i/>
          <w:iCs/>
        </w:rPr>
      </w:pPr>
      <w:r w:rsidRPr="00AE4E05">
        <w:rPr>
          <w:rFonts w:ascii="Trebuchet MS" w:hAnsi="Trebuchet MS"/>
          <w:b/>
          <w:bCs/>
        </w:rPr>
        <w:t>Ed Johnson Project</w:t>
      </w:r>
      <w:r w:rsidRPr="00AE4E05">
        <w:rPr>
          <w:rFonts w:ascii="Trebuchet MS" w:hAnsi="Trebuchet MS"/>
        </w:rPr>
        <w:t xml:space="preserve"> – Seeks to remind society that </w:t>
      </w:r>
      <w:r>
        <w:rPr>
          <w:rFonts w:ascii="Trebuchet MS" w:hAnsi="Trebuchet MS"/>
        </w:rPr>
        <w:t>JMH</w:t>
      </w:r>
      <w:r w:rsidRPr="00AE4E05">
        <w:rPr>
          <w:rFonts w:ascii="Trebuchet MS" w:hAnsi="Trebuchet MS"/>
        </w:rPr>
        <w:t xml:space="preserve"> stepped in to</w:t>
      </w:r>
      <w:r>
        <w:rPr>
          <w:rFonts w:ascii="Trebuchet MS" w:hAnsi="Trebuchet MS"/>
          <w:b/>
          <w:bCs/>
        </w:rPr>
        <w:t xml:space="preserve"> </w:t>
      </w:r>
      <w:r>
        <w:rPr>
          <w:rFonts w:ascii="Trebuchet MS" w:hAnsi="Trebuchet MS"/>
        </w:rPr>
        <w:t>seek justice over when Chattanooga leaders abetted a lynching.</w:t>
      </w:r>
    </w:p>
    <w:p w14:paraId="6211D2D5" w14:textId="77777777" w:rsidR="00AE4E05" w:rsidRPr="00AE4E05" w:rsidRDefault="00AE4E05" w:rsidP="00AE4E05">
      <w:pPr>
        <w:pStyle w:val="ListParagraph"/>
        <w:rPr>
          <w:rFonts w:ascii="Trebuchet MS" w:hAnsi="Trebuchet MS"/>
          <w:b/>
          <w:bCs/>
          <w:i/>
          <w:iCs/>
        </w:rPr>
      </w:pPr>
    </w:p>
    <w:p w14:paraId="33299C22" w14:textId="0157AB37" w:rsidR="00AE4E05" w:rsidRDefault="00AE4E05" w:rsidP="00AE4E05">
      <w:pPr>
        <w:ind w:left="270"/>
        <w:rPr>
          <w:rFonts w:ascii="Trebuchet MS" w:hAnsi="Trebuchet MS"/>
          <w:b/>
          <w:bCs/>
        </w:rPr>
      </w:pPr>
      <w:r w:rsidRPr="00AE4E05">
        <w:rPr>
          <w:rFonts w:ascii="Trebuchet MS" w:hAnsi="Trebuchet MS"/>
          <w:b/>
          <w:bCs/>
        </w:rPr>
        <w:t>Epilogue</w:t>
      </w:r>
      <w:r>
        <w:rPr>
          <w:rFonts w:ascii="Trebuchet MS" w:hAnsi="Trebuchet MS"/>
          <w:b/>
          <w:bCs/>
        </w:rPr>
        <w:t xml:space="preserve"> - </w:t>
      </w:r>
      <w:r w:rsidRPr="00AE4E05">
        <w:rPr>
          <w:rFonts w:ascii="Trebuchet MS" w:hAnsi="Trebuchet MS"/>
          <w:b/>
          <w:bCs/>
        </w:rPr>
        <w:t>Our Basic Legal Creed</w:t>
      </w:r>
    </w:p>
    <w:p w14:paraId="1B4FFF9A" w14:textId="694645B0" w:rsidR="00AE4E05" w:rsidRDefault="00AE4E05" w:rsidP="00AE4E05">
      <w:pPr>
        <w:pStyle w:val="ListParagraph"/>
        <w:numPr>
          <w:ilvl w:val="0"/>
          <w:numId w:val="7"/>
        </w:numPr>
        <w:ind w:left="720" w:hanging="180"/>
        <w:rPr>
          <w:rFonts w:ascii="Trebuchet MS" w:hAnsi="Trebuchet MS"/>
        </w:rPr>
      </w:pPr>
      <w:r w:rsidRPr="00AE4E05">
        <w:rPr>
          <w:rFonts w:ascii="Trebuchet MS" w:hAnsi="Trebuchet MS"/>
          <w:b/>
          <w:bCs/>
        </w:rPr>
        <w:t>Legacy</w:t>
      </w:r>
      <w:r>
        <w:rPr>
          <w:rFonts w:ascii="Trebuchet MS" w:hAnsi="Trebuchet MS"/>
        </w:rPr>
        <w:t xml:space="preserve"> - </w:t>
      </w:r>
      <w:r w:rsidRPr="00AE4E05">
        <w:rPr>
          <w:rFonts w:ascii="Trebuchet MS" w:hAnsi="Trebuchet MS"/>
        </w:rPr>
        <w:t>JMH</w:t>
      </w:r>
      <w:r>
        <w:rPr>
          <w:rFonts w:ascii="Trebuchet MS" w:hAnsi="Trebuchet MS"/>
        </w:rPr>
        <w:t xml:space="preserve"> </w:t>
      </w:r>
      <w:r w:rsidRPr="00AE4E05">
        <w:rPr>
          <w:rFonts w:ascii="Trebuchet MS" w:hAnsi="Trebuchet MS"/>
          <w:i/>
          <w:iCs/>
        </w:rPr>
        <w:t>“the first, and only, father of equal protection under the law.”</w:t>
      </w:r>
      <w:r>
        <w:rPr>
          <w:rFonts w:ascii="Trebuchet MS" w:hAnsi="Trebuchet MS"/>
        </w:rPr>
        <w:t xml:space="preserve"> (p. 486) </w:t>
      </w:r>
      <w:r>
        <w:rPr>
          <w:rFonts w:ascii="Trebuchet MS" w:hAnsi="Trebuchet MS"/>
          <w:i/>
          <w:iCs/>
        </w:rPr>
        <w:t>“He built the legal foundation for the midcentury revolution that brought civil rights to millions…The fact that one white man, rather than none, believed that the national charter could support a diverse nation built on equality under the law</w:t>
      </w:r>
      <w:r>
        <w:rPr>
          <w:rFonts w:ascii="Trebuchet MS" w:hAnsi="Trebuchet MS"/>
          <w:i/>
          <w:iCs/>
        </w:rPr>
        <w:sym w:font="Symbol" w:char="F02D"/>
      </w:r>
      <w:r>
        <w:rPr>
          <w:rFonts w:ascii="Trebuchet MS" w:hAnsi="Trebuchet MS"/>
          <w:i/>
          <w:iCs/>
        </w:rPr>
        <w:t>in fact, demanded it</w:t>
      </w:r>
      <w:r>
        <w:rPr>
          <w:rFonts w:ascii="Trebuchet MS" w:hAnsi="Trebuchet MS"/>
          <w:i/>
          <w:iCs/>
        </w:rPr>
        <w:sym w:font="Symbol" w:char="F02D"/>
      </w:r>
      <w:r>
        <w:rPr>
          <w:rFonts w:ascii="Trebuchet MS" w:hAnsi="Trebuchet MS"/>
          <w:i/>
          <w:iCs/>
        </w:rPr>
        <w:t xml:space="preserve">sustained the faith of Black people for generations…In the history of the Supreme Court, there is no parallel to Harlan’s career…no one stood so consistently against his brethren, only to be vindicated in later times.” </w:t>
      </w:r>
      <w:r>
        <w:rPr>
          <w:rFonts w:ascii="Trebuchet MS" w:hAnsi="Trebuchet MS"/>
        </w:rPr>
        <w:t>(p 487)</w:t>
      </w:r>
    </w:p>
    <w:p w14:paraId="1BD22E48" w14:textId="1A6A313B" w:rsidR="00AE4E05" w:rsidRDefault="00AE4E05" w:rsidP="00AE4E05">
      <w:pPr>
        <w:pStyle w:val="ListParagraph"/>
        <w:numPr>
          <w:ilvl w:val="0"/>
          <w:numId w:val="7"/>
        </w:numPr>
        <w:ind w:left="720" w:hanging="180"/>
        <w:rPr>
          <w:rFonts w:ascii="Trebuchet MS" w:hAnsi="Trebuchet MS"/>
        </w:rPr>
      </w:pPr>
      <w:r>
        <w:rPr>
          <w:rFonts w:ascii="Trebuchet MS" w:hAnsi="Trebuchet MS"/>
          <w:b/>
          <w:bCs/>
        </w:rPr>
        <w:t>Uniqueness</w:t>
      </w:r>
      <w:r>
        <w:rPr>
          <w:rFonts w:ascii="Trebuchet MS" w:hAnsi="Trebuchet MS"/>
        </w:rPr>
        <w:t xml:space="preserve"> – Stems more from the </w:t>
      </w:r>
      <w:r w:rsidRPr="00AE4E05">
        <w:rPr>
          <w:rFonts w:ascii="Trebuchet MS" w:hAnsi="Trebuchet MS"/>
          <w:i/>
          <w:iCs/>
        </w:rPr>
        <w:t xml:space="preserve">“sensitivities of his life than any strategic vision of the law.” </w:t>
      </w:r>
      <w:r>
        <w:rPr>
          <w:rFonts w:ascii="Trebuchet MS" w:hAnsi="Trebuchet MS"/>
        </w:rPr>
        <w:t xml:space="preserve">(p 488) </w:t>
      </w:r>
      <w:r w:rsidRPr="00AE4E05">
        <w:rPr>
          <w:rFonts w:ascii="Trebuchet MS" w:hAnsi="Trebuchet MS"/>
          <w:i/>
          <w:iCs/>
        </w:rPr>
        <w:t>“Robert’s life proceeded to be an all-encompassing refutation of the notion of white supremacy…</w:t>
      </w:r>
      <w:r>
        <w:rPr>
          <w:rFonts w:ascii="Trebuchet MS" w:hAnsi="Trebuchet MS"/>
          <w:i/>
          <w:iCs/>
        </w:rPr>
        <w:t>To John’s northern-born colleagues, acceptance of segregation was the price of peace in the South…</w:t>
      </w:r>
      <w:r w:rsidRPr="00AE4E05">
        <w:rPr>
          <w:rFonts w:ascii="Trebuchet MS" w:hAnsi="Trebuchet MS"/>
          <w:i/>
          <w:iCs/>
        </w:rPr>
        <w:t>”</w:t>
      </w:r>
      <w:r>
        <w:rPr>
          <w:rFonts w:ascii="Trebuchet MS" w:hAnsi="Trebuchet MS"/>
        </w:rPr>
        <w:t xml:space="preserve"> (p 489)</w:t>
      </w:r>
    </w:p>
    <w:p w14:paraId="20F4A062" w14:textId="3BD33060" w:rsidR="00AE4E05" w:rsidRDefault="00AE4E05" w:rsidP="00AE4E05">
      <w:pPr>
        <w:pStyle w:val="ListParagraph"/>
        <w:numPr>
          <w:ilvl w:val="0"/>
          <w:numId w:val="7"/>
        </w:numPr>
        <w:ind w:left="720" w:hanging="180"/>
        <w:rPr>
          <w:rFonts w:ascii="Trebuchet MS" w:hAnsi="Trebuchet MS"/>
        </w:rPr>
      </w:pPr>
      <w:r>
        <w:rPr>
          <w:rFonts w:ascii="Trebuchet MS" w:hAnsi="Trebuchet MS"/>
          <w:b/>
          <w:bCs/>
        </w:rPr>
        <w:t>Family Legacy</w:t>
      </w:r>
      <w:r>
        <w:rPr>
          <w:rFonts w:ascii="Trebuchet MS" w:hAnsi="Trebuchet MS"/>
        </w:rPr>
        <w:t xml:space="preserve"> – Robert’s great-grandson was sworn into the bar of the Supreme Court in 1957 before Justice JMH II.  </w:t>
      </w:r>
    </w:p>
    <w:p w14:paraId="2FF39FE7" w14:textId="10842BA2" w:rsidR="00AE4E05" w:rsidRDefault="00AE4E05" w:rsidP="00AE4E05">
      <w:pPr>
        <w:pStyle w:val="ListParagraph"/>
        <w:numPr>
          <w:ilvl w:val="0"/>
          <w:numId w:val="7"/>
        </w:numPr>
        <w:ind w:left="720" w:hanging="180"/>
        <w:rPr>
          <w:rFonts w:ascii="Trebuchet MS" w:hAnsi="Trebuchet MS"/>
        </w:rPr>
      </w:pPr>
      <w:r>
        <w:rPr>
          <w:rFonts w:ascii="Trebuchet MS" w:hAnsi="Trebuchet MS"/>
          <w:b/>
          <w:bCs/>
        </w:rPr>
        <w:t>DNA Test</w:t>
      </w:r>
      <w:r>
        <w:rPr>
          <w:rFonts w:ascii="Trebuchet MS" w:hAnsi="Trebuchet MS"/>
        </w:rPr>
        <w:t xml:space="preserve"> – Ultimately inconclusive.  </w:t>
      </w:r>
      <w:r w:rsidRPr="00AE4E05">
        <w:rPr>
          <w:rFonts w:ascii="Trebuchet MS" w:hAnsi="Trebuchet MS"/>
          <w:i/>
          <w:iCs/>
        </w:rPr>
        <w:t xml:space="preserve">“Looking at Robert only in terms of his relationship to John or James Harlan diminishes him, suggesting that his </w:t>
      </w:r>
      <w:r w:rsidRPr="00AE4E05">
        <w:rPr>
          <w:rFonts w:ascii="Trebuchet MS" w:hAnsi="Trebuchet MS"/>
          <w:i/>
          <w:iCs/>
        </w:rPr>
        <w:lastRenderedPageBreak/>
        <w:t>experiences are important only in reference to his proximity to them…The irony that the first Robert may have enjoyed more satisfaction than the fifth seems a perfect benediction for a story about the tragic price of segregation.”</w:t>
      </w:r>
      <w:r>
        <w:rPr>
          <w:rFonts w:ascii="Trebuchet MS" w:hAnsi="Trebuchet MS"/>
          <w:i/>
          <w:iCs/>
        </w:rPr>
        <w:t xml:space="preserve"> </w:t>
      </w:r>
      <w:r>
        <w:rPr>
          <w:rFonts w:ascii="Trebuchet MS" w:hAnsi="Trebuchet MS"/>
        </w:rPr>
        <w:t>(p 493)</w:t>
      </w:r>
    </w:p>
    <w:p w14:paraId="398AAF6F" w14:textId="77777777" w:rsidR="00AE4E05" w:rsidRPr="00AE4E05" w:rsidRDefault="00AE4E05" w:rsidP="00AE4E05">
      <w:pPr>
        <w:pStyle w:val="ListParagraph"/>
        <w:rPr>
          <w:rFonts w:ascii="Trebuchet MS" w:hAnsi="Trebuchet MS"/>
        </w:rPr>
      </w:pPr>
    </w:p>
    <w:p w14:paraId="45B0F03C" w14:textId="5818C00F" w:rsidR="00FC6978" w:rsidRDefault="00FC6978" w:rsidP="00FC6978">
      <w:pPr>
        <w:rPr>
          <w:rFonts w:ascii="Trebuchet MS" w:hAnsi="Trebuchet MS"/>
          <w:b/>
          <w:bCs/>
        </w:rPr>
      </w:pPr>
      <w:r>
        <w:rPr>
          <w:rFonts w:ascii="Trebuchet MS" w:hAnsi="Trebuchet MS"/>
          <w:b/>
          <w:bCs/>
        </w:rPr>
        <w:t>QUESTIONS FOR DISCUSSION:</w:t>
      </w:r>
    </w:p>
    <w:p w14:paraId="1404F180" w14:textId="1878F70A" w:rsidR="009D27D8" w:rsidRPr="00AE4E05" w:rsidRDefault="00AE4E05" w:rsidP="00AE4E05">
      <w:pPr>
        <w:pStyle w:val="ListParagraph"/>
        <w:numPr>
          <w:ilvl w:val="0"/>
          <w:numId w:val="6"/>
        </w:numPr>
        <w:rPr>
          <w:rFonts w:ascii="Trebuchet MS" w:hAnsi="Trebuchet MS"/>
          <w:b/>
          <w:bCs/>
        </w:rPr>
      </w:pPr>
      <w:r>
        <w:rPr>
          <w:rFonts w:ascii="Trebuchet MS" w:hAnsi="Trebuchet MS"/>
        </w:rPr>
        <w:t>WWII seemed to provide a turning point in addressing the “separate but equal doctrine.”  Why/why not WWI?</w:t>
      </w:r>
    </w:p>
    <w:p w14:paraId="73A9F992" w14:textId="239D3C20" w:rsidR="00AE4E05" w:rsidRPr="00AE4E05" w:rsidRDefault="00AE4E05" w:rsidP="00AE4E05">
      <w:pPr>
        <w:pStyle w:val="ListParagraph"/>
        <w:numPr>
          <w:ilvl w:val="0"/>
          <w:numId w:val="6"/>
        </w:numPr>
        <w:rPr>
          <w:rFonts w:ascii="Trebuchet MS" w:hAnsi="Trebuchet MS"/>
          <w:b/>
          <w:bCs/>
        </w:rPr>
      </w:pPr>
      <w:r>
        <w:rPr>
          <w:rFonts w:ascii="Trebuchet MS" w:hAnsi="Trebuchet MS"/>
        </w:rPr>
        <w:t>What do you think of that last quote above from p. 493?</w:t>
      </w:r>
    </w:p>
    <w:p w14:paraId="62185298" w14:textId="344D532C" w:rsidR="00AE4E05" w:rsidRPr="00AE4E05" w:rsidRDefault="00AE4E05" w:rsidP="00AE4E05">
      <w:pPr>
        <w:pStyle w:val="ListParagraph"/>
        <w:numPr>
          <w:ilvl w:val="0"/>
          <w:numId w:val="6"/>
        </w:numPr>
        <w:rPr>
          <w:rFonts w:ascii="Trebuchet MS" w:hAnsi="Trebuchet MS"/>
          <w:b/>
          <w:bCs/>
        </w:rPr>
      </w:pPr>
      <w:r>
        <w:rPr>
          <w:rFonts w:ascii="Trebuchet MS" w:hAnsi="Trebuchet MS"/>
        </w:rPr>
        <w:t>Where is affirmative action today?  Where should it be?</w:t>
      </w:r>
    </w:p>
    <w:p w14:paraId="157C9A7A" w14:textId="16EBF8D4" w:rsidR="00AE4E05" w:rsidRPr="001E70C0" w:rsidRDefault="00AE4E05" w:rsidP="00AE4E05">
      <w:pPr>
        <w:pStyle w:val="ListParagraph"/>
        <w:numPr>
          <w:ilvl w:val="0"/>
          <w:numId w:val="6"/>
        </w:numPr>
        <w:rPr>
          <w:rFonts w:ascii="Trebuchet MS" w:hAnsi="Trebuchet MS"/>
          <w:b/>
          <w:bCs/>
        </w:rPr>
      </w:pPr>
      <w:r>
        <w:rPr>
          <w:rFonts w:ascii="Trebuchet MS" w:hAnsi="Trebuchet MS"/>
        </w:rPr>
        <w:t>Is SCOTUS the appropriate place to seek racial justice in America?</w:t>
      </w:r>
    </w:p>
    <w:p w14:paraId="75B588D9" w14:textId="20889DF7" w:rsidR="001E70C0" w:rsidRPr="001E70C0" w:rsidRDefault="001E70C0" w:rsidP="00AE4E05">
      <w:pPr>
        <w:pStyle w:val="ListParagraph"/>
        <w:numPr>
          <w:ilvl w:val="0"/>
          <w:numId w:val="6"/>
        </w:numPr>
        <w:rPr>
          <w:rFonts w:ascii="Trebuchet MS" w:hAnsi="Trebuchet MS"/>
          <w:b/>
          <w:bCs/>
        </w:rPr>
      </w:pPr>
      <w:r>
        <w:rPr>
          <w:rFonts w:ascii="Trebuchet MS" w:hAnsi="Trebuchet MS"/>
        </w:rPr>
        <w:t>How much should SCOTUS look at changes in society to re-interpret the constitution and how much weight should SCOTUS give to the original intent of the constitution?</w:t>
      </w:r>
    </w:p>
    <w:p w14:paraId="3420DD94" w14:textId="1DB534C1" w:rsidR="001E70C0" w:rsidRPr="009D27D8" w:rsidRDefault="001E70C0" w:rsidP="00AE4E05">
      <w:pPr>
        <w:pStyle w:val="ListParagraph"/>
        <w:numPr>
          <w:ilvl w:val="0"/>
          <w:numId w:val="6"/>
        </w:numPr>
        <w:rPr>
          <w:rFonts w:ascii="Trebuchet MS" w:hAnsi="Trebuchet MS"/>
          <w:b/>
          <w:bCs/>
        </w:rPr>
      </w:pPr>
      <w:r>
        <w:rPr>
          <w:rFonts w:ascii="Trebuchet MS" w:hAnsi="Trebuchet MS"/>
        </w:rPr>
        <w:t>How do you feel about court packing?</w:t>
      </w:r>
    </w:p>
    <w:sectPr w:rsidR="001E70C0" w:rsidRPr="009D27D8" w:rsidSect="009D27D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3C9"/>
    <w:multiLevelType w:val="hybridMultilevel"/>
    <w:tmpl w:val="05C0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79F7"/>
    <w:multiLevelType w:val="hybridMultilevel"/>
    <w:tmpl w:val="71E8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933E7"/>
    <w:multiLevelType w:val="hybridMultilevel"/>
    <w:tmpl w:val="E4E49E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927CC"/>
    <w:multiLevelType w:val="hybridMultilevel"/>
    <w:tmpl w:val="FE2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646EC"/>
    <w:multiLevelType w:val="hybridMultilevel"/>
    <w:tmpl w:val="762AC660"/>
    <w:lvl w:ilvl="0" w:tplc="5FDAC5A2">
      <w:start w:val="2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03703"/>
    <w:multiLevelType w:val="hybridMultilevel"/>
    <w:tmpl w:val="3962BD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C083F"/>
    <w:multiLevelType w:val="hybridMultilevel"/>
    <w:tmpl w:val="275C60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28"/>
    <w:rsid w:val="00064864"/>
    <w:rsid w:val="000747CE"/>
    <w:rsid w:val="001A5ABB"/>
    <w:rsid w:val="001E70C0"/>
    <w:rsid w:val="002607C1"/>
    <w:rsid w:val="002B071F"/>
    <w:rsid w:val="003424FA"/>
    <w:rsid w:val="003812C4"/>
    <w:rsid w:val="0038587A"/>
    <w:rsid w:val="003916FC"/>
    <w:rsid w:val="00466A31"/>
    <w:rsid w:val="00475636"/>
    <w:rsid w:val="004A2660"/>
    <w:rsid w:val="0089781C"/>
    <w:rsid w:val="00957571"/>
    <w:rsid w:val="009941C1"/>
    <w:rsid w:val="009D27D8"/>
    <w:rsid w:val="00AE4E05"/>
    <w:rsid w:val="00AF3B2F"/>
    <w:rsid w:val="00B0389A"/>
    <w:rsid w:val="00B87428"/>
    <w:rsid w:val="00BC6957"/>
    <w:rsid w:val="00C938E1"/>
    <w:rsid w:val="00CB2323"/>
    <w:rsid w:val="00D40F2A"/>
    <w:rsid w:val="00D73EDE"/>
    <w:rsid w:val="00DB0464"/>
    <w:rsid w:val="00E91A99"/>
    <w:rsid w:val="00FC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8AC7"/>
  <w15:chartTrackingRefBased/>
  <w15:docId w15:val="{29B45C3B-0BEE-0642-B286-221CF80F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660"/>
    <w:pPr>
      <w:ind w:left="720"/>
      <w:contextualSpacing/>
    </w:pPr>
  </w:style>
  <w:style w:type="character" w:customStyle="1" w:styleId="apple-converted-space">
    <w:name w:val="apple-converted-space"/>
    <w:basedOn w:val="DefaultParagraphFont"/>
    <w:rsid w:val="00E91A99"/>
  </w:style>
  <w:style w:type="character" w:styleId="Hyperlink">
    <w:name w:val="Hyperlink"/>
    <w:basedOn w:val="DefaultParagraphFont"/>
    <w:uiPriority w:val="99"/>
    <w:semiHidden/>
    <w:unhideWhenUsed/>
    <w:rsid w:val="00E91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5614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Pedersen</dc:creator>
  <cp:keywords/>
  <dc:description/>
  <cp:lastModifiedBy>Chris HoffmanHill</cp:lastModifiedBy>
  <cp:revision>2</cp:revision>
  <cp:lastPrinted>2022-01-03T15:37:00Z</cp:lastPrinted>
  <dcterms:created xsi:type="dcterms:W3CDTF">2022-01-03T21:17:00Z</dcterms:created>
  <dcterms:modified xsi:type="dcterms:W3CDTF">2022-01-03T21:17:00Z</dcterms:modified>
</cp:coreProperties>
</file>